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C9" w:rsidRPr="00CA0DC9" w:rsidRDefault="00CA0DC9" w:rsidP="00CA0DC9">
      <w:pPr>
        <w:jc w:val="right"/>
        <w:rPr>
          <w:rFonts w:ascii="Verdana" w:hAnsi="Verdana"/>
          <w:i/>
          <w:sz w:val="24"/>
          <w:szCs w:val="24"/>
        </w:rPr>
      </w:pPr>
      <w:r w:rsidRPr="00CA0DC9">
        <w:rPr>
          <w:rFonts w:ascii="Verdana" w:hAnsi="Verdana"/>
          <w:i/>
          <w:sz w:val="24"/>
          <w:szCs w:val="24"/>
        </w:rPr>
        <w:t>Warszawa, 22.04.2016 r.</w:t>
      </w:r>
    </w:p>
    <w:p w:rsidR="00CA0DC9" w:rsidRPr="00CA0DC9" w:rsidRDefault="00CA0DC9" w:rsidP="00CA0DC9">
      <w:pPr>
        <w:rPr>
          <w:rFonts w:ascii="Verdana" w:hAnsi="Verdana"/>
          <w:sz w:val="24"/>
          <w:szCs w:val="24"/>
        </w:rPr>
      </w:pPr>
      <w:r w:rsidRPr="00CA0DC9">
        <w:rPr>
          <w:rFonts w:ascii="Verdana" w:hAnsi="Verdana"/>
          <w:sz w:val="24"/>
          <w:szCs w:val="24"/>
        </w:rPr>
        <w:t>Stanisław Koziej</w:t>
      </w:r>
    </w:p>
    <w:p w:rsidR="00CA0DC9" w:rsidRDefault="00CA0DC9" w:rsidP="004C69C3">
      <w:pPr>
        <w:jc w:val="center"/>
        <w:rPr>
          <w:rFonts w:ascii="Verdana" w:hAnsi="Verdana"/>
          <w:b/>
          <w:sz w:val="24"/>
          <w:szCs w:val="24"/>
        </w:rPr>
      </w:pPr>
    </w:p>
    <w:p w:rsidR="004C69C3" w:rsidRDefault="004C69C3" w:rsidP="004C69C3">
      <w:pPr>
        <w:jc w:val="center"/>
        <w:rPr>
          <w:rFonts w:ascii="Verdana" w:hAnsi="Verdana"/>
          <w:b/>
          <w:sz w:val="24"/>
          <w:szCs w:val="24"/>
        </w:rPr>
      </w:pPr>
      <w:r w:rsidRPr="00BB38B4">
        <w:rPr>
          <w:rFonts w:ascii="Verdana" w:hAnsi="Verdana"/>
          <w:b/>
          <w:sz w:val="24"/>
          <w:szCs w:val="24"/>
        </w:rPr>
        <w:t xml:space="preserve">DYLEMATY </w:t>
      </w:r>
      <w:r w:rsidRPr="00BB38B4">
        <w:rPr>
          <w:rFonts w:ascii="Verdana" w:hAnsi="Verdana"/>
          <w:b/>
          <w:sz w:val="24"/>
          <w:szCs w:val="24"/>
        </w:rPr>
        <w:br/>
        <w:t>EUROPEJSKIEJ STRATEGII BEZPIECZEŃSTWA</w:t>
      </w:r>
    </w:p>
    <w:p w:rsidR="00CA0DC9" w:rsidRPr="00CA0DC9" w:rsidRDefault="00CA0DC9" w:rsidP="004C69C3">
      <w:pPr>
        <w:jc w:val="center"/>
        <w:rPr>
          <w:rFonts w:ascii="Verdana" w:hAnsi="Verdana"/>
          <w:i/>
          <w:sz w:val="20"/>
          <w:szCs w:val="24"/>
        </w:rPr>
      </w:pPr>
      <w:r>
        <w:rPr>
          <w:rFonts w:ascii="Verdana" w:hAnsi="Verdana"/>
          <w:i/>
          <w:sz w:val="20"/>
          <w:szCs w:val="24"/>
        </w:rPr>
        <w:t>(tezy do dyskusji na konferencji: Nowa Europa. Jaka będzie Unia przyszłości?)</w:t>
      </w:r>
    </w:p>
    <w:p w:rsidR="00BB38B4" w:rsidRPr="00BB38B4" w:rsidRDefault="00BB38B4" w:rsidP="004C69C3">
      <w:pPr>
        <w:rPr>
          <w:rFonts w:ascii="Verdana" w:hAnsi="Verdana"/>
          <w:sz w:val="24"/>
          <w:szCs w:val="24"/>
        </w:rPr>
      </w:pPr>
    </w:p>
    <w:p w:rsidR="004C69C3" w:rsidRPr="00BB38B4" w:rsidRDefault="00BB38B4" w:rsidP="00BB38B4">
      <w:pPr>
        <w:jc w:val="center"/>
        <w:rPr>
          <w:rFonts w:ascii="Verdana" w:hAnsi="Verdana"/>
          <w:b/>
          <w:sz w:val="24"/>
          <w:szCs w:val="24"/>
        </w:rPr>
      </w:pPr>
      <w:r w:rsidRPr="00BB38B4">
        <w:rPr>
          <w:rFonts w:ascii="Verdana" w:hAnsi="Verdana"/>
          <w:b/>
          <w:sz w:val="24"/>
          <w:szCs w:val="24"/>
        </w:rPr>
        <w:t>HIPOTEZA</w:t>
      </w:r>
    </w:p>
    <w:p w:rsidR="004C69C3" w:rsidRPr="00BB38B4" w:rsidRDefault="004C69C3" w:rsidP="004C69C3">
      <w:pPr>
        <w:rPr>
          <w:rFonts w:ascii="Verdana" w:hAnsi="Verdana"/>
          <w:sz w:val="24"/>
          <w:szCs w:val="24"/>
        </w:rPr>
      </w:pPr>
      <w:r w:rsidRPr="00BB38B4">
        <w:rPr>
          <w:rFonts w:ascii="Verdana" w:hAnsi="Verdana"/>
          <w:sz w:val="24"/>
          <w:szCs w:val="24"/>
        </w:rPr>
        <w:t xml:space="preserve">Podstawową słabością UE w dziedzinie bezpieczeństwa jest to, że nie jest ona realnym podmiotem strategicznym. Głównie reaguje na zasadzie ad hoc. Pokazują to wyraźnie ostatnie kryzysy. Taka UE jest nie tylko mało skuteczna, ale też mało przydatna dla Polski jako jej zewnętrzny filar bezpieczeństwa. Dlatego z polskiego punktu widzenia jednym z najważniejszych wyzwań stojących przed UE jest jej </w:t>
      </w:r>
      <w:proofErr w:type="spellStart"/>
      <w:r w:rsidRPr="00BB38B4">
        <w:rPr>
          <w:rFonts w:ascii="Verdana" w:hAnsi="Verdana"/>
          <w:sz w:val="24"/>
          <w:szCs w:val="24"/>
        </w:rPr>
        <w:t>ustrategicznienie</w:t>
      </w:r>
      <w:proofErr w:type="spellEnd"/>
      <w:r w:rsidRPr="00BB38B4">
        <w:rPr>
          <w:rFonts w:ascii="Verdana" w:hAnsi="Verdana"/>
          <w:sz w:val="24"/>
          <w:szCs w:val="24"/>
        </w:rPr>
        <w:t>. Oznacza to konieczność refleksji/samoidentyfikacji strategicznej i przyjęcia realistycznej strategii opartej na wspólnych/niesprzecznych interesach.</w:t>
      </w:r>
    </w:p>
    <w:p w:rsidR="00B53C2B" w:rsidRDefault="00B53C2B">
      <w:pPr>
        <w:rPr>
          <w:rFonts w:ascii="Verdana" w:hAnsi="Verdana"/>
          <w:sz w:val="24"/>
          <w:szCs w:val="24"/>
        </w:rPr>
      </w:pPr>
    </w:p>
    <w:p w:rsidR="00BB38B4" w:rsidRPr="00BB38B4" w:rsidRDefault="00BB38B4" w:rsidP="00BB38B4">
      <w:pPr>
        <w:jc w:val="center"/>
        <w:rPr>
          <w:rFonts w:ascii="Verdana" w:hAnsi="Verdana"/>
          <w:b/>
          <w:sz w:val="24"/>
          <w:szCs w:val="24"/>
        </w:rPr>
      </w:pPr>
      <w:r>
        <w:rPr>
          <w:rFonts w:ascii="Verdana" w:hAnsi="Verdana"/>
          <w:b/>
          <w:sz w:val="24"/>
          <w:szCs w:val="24"/>
        </w:rPr>
        <w:t>ŚRODOWISKO</w:t>
      </w:r>
    </w:p>
    <w:p w:rsidR="004C69C3" w:rsidRPr="00BB38B4" w:rsidRDefault="004C69C3" w:rsidP="00BB38B4">
      <w:pPr>
        <w:ind w:left="3540"/>
        <w:rPr>
          <w:rFonts w:ascii="Verdana" w:hAnsi="Verdana"/>
          <w:sz w:val="24"/>
          <w:szCs w:val="24"/>
        </w:rPr>
      </w:pPr>
      <w:r w:rsidRPr="00BB38B4">
        <w:rPr>
          <w:rFonts w:ascii="Verdana" w:hAnsi="Verdana"/>
          <w:sz w:val="24"/>
          <w:szCs w:val="24"/>
        </w:rPr>
        <w:t xml:space="preserve">Kryzys w Europie Wschodniej: (neoimperialny zwrot strategiczny Rosji, nowa jakość strategiczna </w:t>
      </w:r>
    </w:p>
    <w:p w:rsidR="004C69C3" w:rsidRPr="00BB38B4" w:rsidRDefault="004C69C3" w:rsidP="00BB38B4">
      <w:pPr>
        <w:ind w:left="3540"/>
        <w:rPr>
          <w:rFonts w:ascii="Verdana" w:hAnsi="Verdana"/>
          <w:sz w:val="24"/>
          <w:szCs w:val="24"/>
        </w:rPr>
      </w:pPr>
      <w:r w:rsidRPr="00BB38B4">
        <w:rPr>
          <w:rFonts w:ascii="Verdana" w:hAnsi="Verdana"/>
          <w:sz w:val="24"/>
          <w:szCs w:val="24"/>
        </w:rPr>
        <w:t xml:space="preserve">– koniec ery </w:t>
      </w:r>
      <w:proofErr w:type="spellStart"/>
      <w:r w:rsidRPr="00BB38B4">
        <w:rPr>
          <w:rFonts w:ascii="Verdana" w:hAnsi="Verdana"/>
          <w:sz w:val="24"/>
          <w:szCs w:val="24"/>
        </w:rPr>
        <w:t>pozimnowojennej</w:t>
      </w:r>
      <w:proofErr w:type="spellEnd"/>
      <w:r w:rsidRPr="00BB38B4">
        <w:rPr>
          <w:rFonts w:ascii="Verdana" w:hAnsi="Verdana"/>
          <w:sz w:val="24"/>
          <w:szCs w:val="24"/>
        </w:rPr>
        <w:t xml:space="preserve">. </w:t>
      </w:r>
    </w:p>
    <w:p w:rsidR="004C69C3" w:rsidRPr="00BB38B4" w:rsidRDefault="004C69C3" w:rsidP="00BB38B4">
      <w:pPr>
        <w:ind w:left="3540"/>
        <w:rPr>
          <w:rFonts w:ascii="Verdana" w:hAnsi="Verdana"/>
          <w:sz w:val="24"/>
          <w:szCs w:val="24"/>
        </w:rPr>
      </w:pPr>
      <w:r w:rsidRPr="00BB38B4">
        <w:rPr>
          <w:rFonts w:ascii="Verdana" w:hAnsi="Verdana"/>
          <w:sz w:val="24"/>
          <w:szCs w:val="24"/>
        </w:rPr>
        <w:t>Wojna hybrydowa)</w:t>
      </w:r>
    </w:p>
    <w:p w:rsidR="004C69C3" w:rsidRPr="00BB38B4" w:rsidRDefault="004C69C3" w:rsidP="00BB38B4">
      <w:pPr>
        <w:ind w:left="1416"/>
        <w:rPr>
          <w:rFonts w:ascii="Verdana" w:hAnsi="Verdana"/>
          <w:sz w:val="24"/>
          <w:szCs w:val="24"/>
        </w:rPr>
      </w:pPr>
      <w:r w:rsidRPr="00BB38B4">
        <w:rPr>
          <w:rFonts w:ascii="Verdana" w:hAnsi="Verdana"/>
          <w:sz w:val="24"/>
          <w:szCs w:val="24"/>
        </w:rPr>
        <w:t xml:space="preserve">Kryzys na Bliskim Wschodzie i Afryce </w:t>
      </w:r>
    </w:p>
    <w:p w:rsidR="004C69C3" w:rsidRPr="00BB38B4" w:rsidRDefault="004C69C3" w:rsidP="00BB38B4">
      <w:pPr>
        <w:ind w:left="1416"/>
        <w:rPr>
          <w:rFonts w:ascii="Verdana" w:hAnsi="Verdana"/>
          <w:sz w:val="24"/>
          <w:szCs w:val="24"/>
        </w:rPr>
      </w:pPr>
      <w:r w:rsidRPr="00BB38B4">
        <w:rPr>
          <w:rFonts w:ascii="Verdana" w:hAnsi="Verdana"/>
          <w:sz w:val="24"/>
          <w:szCs w:val="24"/>
        </w:rPr>
        <w:t>(ISIL, migracje.</w:t>
      </w:r>
    </w:p>
    <w:p w:rsidR="004C69C3" w:rsidRPr="00BB38B4" w:rsidRDefault="004C69C3" w:rsidP="00BB38B4">
      <w:pPr>
        <w:ind w:left="1416"/>
        <w:rPr>
          <w:rFonts w:ascii="Verdana" w:hAnsi="Verdana"/>
          <w:sz w:val="24"/>
          <w:szCs w:val="24"/>
        </w:rPr>
      </w:pPr>
      <w:r w:rsidRPr="00BB38B4">
        <w:rPr>
          <w:rFonts w:ascii="Verdana" w:hAnsi="Verdana"/>
          <w:sz w:val="24"/>
          <w:szCs w:val="24"/>
        </w:rPr>
        <w:t>Interwencja Rosji)</w:t>
      </w:r>
    </w:p>
    <w:p w:rsidR="004C69C3" w:rsidRPr="00BB38B4" w:rsidRDefault="004C69C3" w:rsidP="004C69C3">
      <w:pPr>
        <w:rPr>
          <w:rFonts w:ascii="Verdana" w:hAnsi="Verdana"/>
          <w:sz w:val="24"/>
          <w:szCs w:val="24"/>
        </w:rPr>
      </w:pPr>
      <w:r w:rsidRPr="00BB38B4">
        <w:rPr>
          <w:rFonts w:ascii="Verdana" w:hAnsi="Verdana"/>
          <w:bCs/>
          <w:sz w:val="24"/>
          <w:szCs w:val="24"/>
        </w:rPr>
        <w:t>Kryzys w Europie</w:t>
      </w:r>
    </w:p>
    <w:p w:rsidR="004C69C3" w:rsidRPr="00BB38B4" w:rsidRDefault="004C69C3" w:rsidP="004C69C3">
      <w:pPr>
        <w:rPr>
          <w:rFonts w:ascii="Verdana" w:hAnsi="Verdana"/>
          <w:sz w:val="24"/>
          <w:szCs w:val="24"/>
        </w:rPr>
      </w:pPr>
      <w:r w:rsidRPr="00BB38B4">
        <w:rPr>
          <w:rFonts w:ascii="Verdana" w:hAnsi="Verdana"/>
          <w:bCs/>
          <w:sz w:val="24"/>
          <w:szCs w:val="24"/>
        </w:rPr>
        <w:t>Zachodniej?</w:t>
      </w:r>
    </w:p>
    <w:p w:rsidR="004C69C3" w:rsidRPr="00BB38B4" w:rsidRDefault="004C69C3" w:rsidP="004C69C3">
      <w:pPr>
        <w:rPr>
          <w:rFonts w:ascii="Verdana" w:hAnsi="Verdana"/>
          <w:sz w:val="24"/>
          <w:szCs w:val="24"/>
        </w:rPr>
      </w:pPr>
      <w:r w:rsidRPr="00BB38B4">
        <w:rPr>
          <w:rFonts w:ascii="Verdana" w:hAnsi="Verdana"/>
          <w:bCs/>
          <w:sz w:val="24"/>
          <w:szCs w:val="24"/>
        </w:rPr>
        <w:t xml:space="preserve">(kryzys integracji, </w:t>
      </w:r>
    </w:p>
    <w:p w:rsidR="004C69C3" w:rsidRPr="00BB38B4" w:rsidRDefault="004C69C3" w:rsidP="004C69C3">
      <w:pPr>
        <w:rPr>
          <w:rFonts w:ascii="Verdana" w:hAnsi="Verdana"/>
          <w:sz w:val="24"/>
          <w:szCs w:val="24"/>
        </w:rPr>
      </w:pPr>
      <w:r w:rsidRPr="00BB38B4">
        <w:rPr>
          <w:rFonts w:ascii="Verdana" w:hAnsi="Verdana"/>
          <w:bCs/>
          <w:sz w:val="24"/>
          <w:szCs w:val="24"/>
        </w:rPr>
        <w:t xml:space="preserve">słabość przywództwa, </w:t>
      </w:r>
    </w:p>
    <w:p w:rsidR="004C69C3" w:rsidRPr="00BB38B4" w:rsidRDefault="004C69C3" w:rsidP="004C69C3">
      <w:pPr>
        <w:rPr>
          <w:rFonts w:ascii="Verdana" w:hAnsi="Verdana"/>
          <w:sz w:val="24"/>
          <w:szCs w:val="24"/>
        </w:rPr>
      </w:pPr>
      <w:r w:rsidRPr="00BB38B4">
        <w:rPr>
          <w:rFonts w:ascii="Verdana" w:hAnsi="Verdana"/>
          <w:bCs/>
          <w:sz w:val="24"/>
          <w:szCs w:val="24"/>
        </w:rPr>
        <w:t xml:space="preserve">migracje, terroryzm </w:t>
      </w:r>
    </w:p>
    <w:p w:rsidR="004C69C3" w:rsidRPr="00BB38B4" w:rsidRDefault="004C69C3" w:rsidP="004C69C3">
      <w:pPr>
        <w:rPr>
          <w:rFonts w:ascii="Verdana" w:hAnsi="Verdana"/>
          <w:sz w:val="24"/>
          <w:szCs w:val="24"/>
        </w:rPr>
      </w:pPr>
      <w:proofErr w:type="spellStart"/>
      <w:r w:rsidRPr="00BB38B4">
        <w:rPr>
          <w:rFonts w:ascii="Verdana" w:hAnsi="Verdana"/>
          <w:bCs/>
          <w:sz w:val="24"/>
          <w:szCs w:val="24"/>
        </w:rPr>
        <w:t>wewnątrzeuropejski</w:t>
      </w:r>
      <w:proofErr w:type="spellEnd"/>
      <w:r w:rsidRPr="00BB38B4">
        <w:rPr>
          <w:rFonts w:ascii="Verdana" w:hAnsi="Verdana"/>
          <w:bCs/>
          <w:sz w:val="24"/>
          <w:szCs w:val="24"/>
        </w:rPr>
        <w:t>?)</w:t>
      </w:r>
    </w:p>
    <w:p w:rsidR="004C69C3" w:rsidRDefault="004C69C3" w:rsidP="004C69C3">
      <w:pPr>
        <w:rPr>
          <w:rFonts w:ascii="Verdana" w:hAnsi="Verdana"/>
          <w:bCs/>
          <w:sz w:val="24"/>
          <w:szCs w:val="24"/>
        </w:rPr>
      </w:pPr>
      <w:r w:rsidRPr="00BB38B4">
        <w:rPr>
          <w:rFonts w:ascii="Verdana" w:hAnsi="Verdana"/>
          <w:bCs/>
          <w:sz w:val="24"/>
          <w:szCs w:val="24"/>
        </w:rPr>
        <w:t>Plus: niepewność</w:t>
      </w:r>
      <w:r w:rsidR="00CA0DC9">
        <w:rPr>
          <w:rFonts w:ascii="Verdana" w:hAnsi="Verdana"/>
          <w:bCs/>
          <w:sz w:val="24"/>
          <w:szCs w:val="24"/>
        </w:rPr>
        <w:t xml:space="preserve"> </w:t>
      </w:r>
      <w:r w:rsidRPr="00BB38B4">
        <w:rPr>
          <w:rFonts w:ascii="Verdana" w:hAnsi="Verdana"/>
          <w:bCs/>
          <w:sz w:val="24"/>
          <w:szCs w:val="24"/>
        </w:rPr>
        <w:t xml:space="preserve"> co do USA</w:t>
      </w:r>
    </w:p>
    <w:p w:rsidR="004C69C3" w:rsidRPr="00BB38B4" w:rsidRDefault="004C69C3">
      <w:pPr>
        <w:rPr>
          <w:rFonts w:ascii="Verdana" w:hAnsi="Verdana"/>
          <w:sz w:val="24"/>
          <w:szCs w:val="24"/>
        </w:rPr>
      </w:pPr>
    </w:p>
    <w:p w:rsidR="004C69C3" w:rsidRPr="00BB38B4" w:rsidRDefault="00BB38B4" w:rsidP="00BB38B4">
      <w:pPr>
        <w:jc w:val="center"/>
        <w:rPr>
          <w:rFonts w:ascii="Verdana" w:hAnsi="Verdana"/>
          <w:b/>
          <w:sz w:val="24"/>
          <w:szCs w:val="24"/>
        </w:rPr>
      </w:pPr>
      <w:r>
        <w:rPr>
          <w:rFonts w:ascii="Verdana" w:hAnsi="Verdana"/>
          <w:b/>
          <w:sz w:val="24"/>
          <w:szCs w:val="24"/>
        </w:rPr>
        <w:t>WSPÓLNY MIANOWNIK STRATEGICZNY</w:t>
      </w:r>
    </w:p>
    <w:p w:rsidR="004C69C3" w:rsidRPr="00BB38B4" w:rsidRDefault="004C69C3" w:rsidP="004C69C3">
      <w:pPr>
        <w:rPr>
          <w:rFonts w:ascii="Verdana" w:hAnsi="Verdana"/>
          <w:sz w:val="24"/>
          <w:szCs w:val="24"/>
        </w:rPr>
      </w:pPr>
      <w:r w:rsidRPr="00BB38B4">
        <w:rPr>
          <w:rFonts w:ascii="Verdana" w:hAnsi="Verdana"/>
          <w:bCs/>
          <w:sz w:val="24"/>
          <w:szCs w:val="24"/>
        </w:rPr>
        <w:t>Interesy państw członkowskich i stosunek do nich innych państw (partnerów, sojuszników):</w:t>
      </w:r>
    </w:p>
    <w:p w:rsidR="001A0BBB" w:rsidRPr="00BB38B4" w:rsidRDefault="00123C88" w:rsidP="004C69C3">
      <w:pPr>
        <w:numPr>
          <w:ilvl w:val="1"/>
          <w:numId w:val="2"/>
        </w:numPr>
        <w:rPr>
          <w:rFonts w:ascii="Verdana" w:hAnsi="Verdana"/>
          <w:sz w:val="24"/>
          <w:szCs w:val="24"/>
        </w:rPr>
      </w:pPr>
      <w:r w:rsidRPr="00BB38B4">
        <w:rPr>
          <w:rFonts w:ascii="Verdana" w:hAnsi="Verdana"/>
          <w:bCs/>
          <w:sz w:val="24"/>
          <w:szCs w:val="24"/>
        </w:rPr>
        <w:t>Wspólne  (akceptowane) –  wszyscy są gotowi uczestniczyć w we wsparciu ich realizacji (ubezpieczane wspólnotowo);</w:t>
      </w:r>
    </w:p>
    <w:p w:rsidR="001A0BBB" w:rsidRPr="00BB38B4" w:rsidRDefault="00123C88" w:rsidP="004C69C3">
      <w:pPr>
        <w:numPr>
          <w:ilvl w:val="1"/>
          <w:numId w:val="2"/>
        </w:numPr>
        <w:rPr>
          <w:rFonts w:ascii="Verdana" w:hAnsi="Verdana"/>
          <w:sz w:val="24"/>
          <w:szCs w:val="24"/>
        </w:rPr>
      </w:pPr>
      <w:r w:rsidRPr="00BB38B4">
        <w:rPr>
          <w:rFonts w:ascii="Verdana" w:hAnsi="Verdana"/>
          <w:bCs/>
          <w:sz w:val="24"/>
          <w:szCs w:val="24"/>
        </w:rPr>
        <w:t>Niesprzeczne (tolerowane) – nikt nie zgłasza wobec nich sprzeciwu, ale też nie deklaruje z góry udziału w zabezpieczeniu ich realizacji (w razie potrzeby – koalicja ad hoc);</w:t>
      </w:r>
    </w:p>
    <w:p w:rsidR="001A0BBB" w:rsidRPr="00BB38B4" w:rsidRDefault="00123C88" w:rsidP="004C69C3">
      <w:pPr>
        <w:numPr>
          <w:ilvl w:val="1"/>
          <w:numId w:val="2"/>
        </w:numPr>
        <w:rPr>
          <w:rFonts w:ascii="Verdana" w:hAnsi="Verdana"/>
          <w:sz w:val="24"/>
          <w:szCs w:val="24"/>
        </w:rPr>
      </w:pPr>
      <w:r w:rsidRPr="00BB38B4">
        <w:rPr>
          <w:rFonts w:ascii="Verdana" w:hAnsi="Verdana"/>
          <w:bCs/>
          <w:sz w:val="24"/>
          <w:szCs w:val="24"/>
        </w:rPr>
        <w:t xml:space="preserve">Sprzeczne (odrzucone) – nie uwzględniane we wspólnej misji bezpieczeństwa. </w:t>
      </w:r>
    </w:p>
    <w:p w:rsidR="00BB38B4" w:rsidRDefault="00BB38B4" w:rsidP="00BB38B4">
      <w:pPr>
        <w:rPr>
          <w:rFonts w:ascii="Verdana" w:hAnsi="Verdana"/>
          <w:bCs/>
          <w:sz w:val="24"/>
          <w:szCs w:val="24"/>
        </w:rPr>
      </w:pPr>
    </w:p>
    <w:p w:rsidR="00BB38B4" w:rsidRPr="00BB38B4" w:rsidRDefault="00BB38B4" w:rsidP="00BB38B4">
      <w:pPr>
        <w:jc w:val="center"/>
        <w:rPr>
          <w:rFonts w:ascii="Verdana" w:hAnsi="Verdana"/>
          <w:b/>
          <w:sz w:val="24"/>
          <w:szCs w:val="24"/>
        </w:rPr>
      </w:pPr>
      <w:r>
        <w:rPr>
          <w:rFonts w:ascii="Verdana" w:hAnsi="Verdana"/>
          <w:b/>
          <w:bCs/>
          <w:sz w:val="24"/>
          <w:szCs w:val="24"/>
        </w:rPr>
        <w:t>MISJA</w:t>
      </w:r>
    </w:p>
    <w:p w:rsidR="004C69C3" w:rsidRPr="00CA0DC9" w:rsidRDefault="004C69C3" w:rsidP="00CA0DC9">
      <w:pPr>
        <w:pStyle w:val="Akapitzlist"/>
        <w:numPr>
          <w:ilvl w:val="0"/>
          <w:numId w:val="3"/>
        </w:numPr>
        <w:rPr>
          <w:rFonts w:ascii="Verdana" w:hAnsi="Verdana"/>
          <w:sz w:val="24"/>
          <w:szCs w:val="24"/>
        </w:rPr>
      </w:pPr>
      <w:r w:rsidRPr="00CA0DC9">
        <w:rPr>
          <w:rFonts w:ascii="Verdana" w:hAnsi="Verdana"/>
          <w:sz w:val="24"/>
          <w:szCs w:val="24"/>
        </w:rPr>
        <w:t>wspieranie niepodległości i nienaruszalności granic państw członkowskich, głównie w wymiarze politycznym i gospodarczym oraz w innych pozamilitarnych dziedzinach i sektorach bezpieczeństwa, a jeśli państwa wzajemnie to uzgodnią – także w dziedzinie militarnej;</w:t>
      </w:r>
    </w:p>
    <w:p w:rsidR="004C69C3" w:rsidRPr="00CA0DC9" w:rsidRDefault="004C69C3" w:rsidP="00CA0DC9">
      <w:pPr>
        <w:pStyle w:val="Akapitzlist"/>
        <w:numPr>
          <w:ilvl w:val="0"/>
          <w:numId w:val="3"/>
        </w:numPr>
        <w:rPr>
          <w:rFonts w:ascii="Verdana" w:hAnsi="Verdana"/>
          <w:sz w:val="24"/>
          <w:szCs w:val="24"/>
        </w:rPr>
      </w:pPr>
      <w:r w:rsidRPr="00CA0DC9">
        <w:rPr>
          <w:rFonts w:ascii="Verdana" w:hAnsi="Verdana"/>
          <w:sz w:val="24"/>
          <w:szCs w:val="24"/>
        </w:rPr>
        <w:t>współpraca na rzecz wzmacniania wspólnych i indywidualnych zdolności państw członkowskich do zapewniania bezpieczeństwa – niemilitarnego i militarnego;</w:t>
      </w:r>
    </w:p>
    <w:p w:rsidR="004C69C3" w:rsidRPr="00CA0DC9" w:rsidRDefault="004C69C3" w:rsidP="00CA0DC9">
      <w:pPr>
        <w:pStyle w:val="Akapitzlist"/>
        <w:numPr>
          <w:ilvl w:val="0"/>
          <w:numId w:val="3"/>
        </w:numPr>
        <w:rPr>
          <w:rFonts w:ascii="Verdana" w:hAnsi="Verdana"/>
          <w:sz w:val="24"/>
          <w:szCs w:val="24"/>
        </w:rPr>
      </w:pPr>
      <w:r w:rsidRPr="00CA0DC9">
        <w:rPr>
          <w:rFonts w:ascii="Verdana" w:hAnsi="Verdana"/>
          <w:sz w:val="24"/>
          <w:szCs w:val="24"/>
        </w:rPr>
        <w:t>działania na rzecz zapewnienia wolnego i bezpiecznego życia obywateli państw UE oraz swobody korzystania przez nich z praw i wolności człowieka</w:t>
      </w:r>
      <w:r w:rsidR="00BB38B4" w:rsidRPr="00CA0DC9">
        <w:rPr>
          <w:rFonts w:ascii="Verdana" w:hAnsi="Verdana"/>
          <w:sz w:val="24"/>
          <w:szCs w:val="24"/>
        </w:rPr>
        <w:t xml:space="preserve"> </w:t>
      </w:r>
      <w:r w:rsidRPr="00CA0DC9">
        <w:rPr>
          <w:rFonts w:ascii="Verdana" w:hAnsi="Verdana"/>
          <w:sz w:val="24"/>
          <w:szCs w:val="24"/>
        </w:rPr>
        <w:t>i obywatela zarówno na terytorium UE, jak i poza nim, bez szkody dla bezpieczeństwa innych osób i bezpieczeństwa państw członkowskich;</w:t>
      </w:r>
    </w:p>
    <w:p w:rsidR="004C69C3" w:rsidRPr="00CA0DC9" w:rsidRDefault="004C69C3" w:rsidP="00CA0DC9">
      <w:pPr>
        <w:pStyle w:val="Akapitzlist"/>
        <w:numPr>
          <w:ilvl w:val="0"/>
          <w:numId w:val="3"/>
        </w:numPr>
        <w:rPr>
          <w:rFonts w:ascii="Verdana" w:hAnsi="Verdana"/>
          <w:sz w:val="24"/>
          <w:szCs w:val="24"/>
        </w:rPr>
      </w:pPr>
      <w:r w:rsidRPr="00CA0DC9">
        <w:rPr>
          <w:rFonts w:ascii="Verdana" w:hAnsi="Verdana"/>
          <w:sz w:val="24"/>
          <w:szCs w:val="24"/>
        </w:rPr>
        <w:t>wspieranie ochrony indywidualnej obywateli i zbiorowej ludności przed zdarzeniami losowymi i zamierzonymi zagrożeniami dla ich życia i zdrowia oraz przed naruszeniem, utratą lub degradacją dysponowanych przez nich dóbr (materialnych i niematerialnych);</w:t>
      </w:r>
    </w:p>
    <w:p w:rsidR="004C69C3" w:rsidRPr="00CA0DC9" w:rsidRDefault="004C69C3" w:rsidP="00CA0DC9">
      <w:pPr>
        <w:pStyle w:val="Akapitzlist"/>
        <w:numPr>
          <w:ilvl w:val="0"/>
          <w:numId w:val="3"/>
        </w:numPr>
        <w:rPr>
          <w:rFonts w:ascii="Verdana" w:hAnsi="Verdana"/>
          <w:sz w:val="24"/>
          <w:szCs w:val="24"/>
        </w:rPr>
      </w:pPr>
      <w:r w:rsidRPr="00CA0DC9">
        <w:rPr>
          <w:rFonts w:ascii="Verdana" w:hAnsi="Verdana"/>
          <w:sz w:val="24"/>
          <w:szCs w:val="24"/>
        </w:rPr>
        <w:t>wspólne działanie na rzecz ochrony i ubezpieczenia zrównoważonego rozwoju społecznego (np. problem migracji) i gospodarczego (np. bezpieczeństwo energetyczne) państw UE;</w:t>
      </w:r>
    </w:p>
    <w:p w:rsidR="004C69C3" w:rsidRDefault="004C69C3" w:rsidP="00CA0DC9">
      <w:pPr>
        <w:pStyle w:val="Akapitzlist"/>
        <w:numPr>
          <w:ilvl w:val="0"/>
          <w:numId w:val="3"/>
        </w:numPr>
        <w:rPr>
          <w:rFonts w:ascii="Verdana" w:hAnsi="Verdana"/>
          <w:sz w:val="24"/>
          <w:szCs w:val="24"/>
        </w:rPr>
      </w:pPr>
      <w:r w:rsidRPr="00CA0DC9">
        <w:rPr>
          <w:rFonts w:ascii="Verdana" w:hAnsi="Verdana"/>
          <w:sz w:val="24"/>
          <w:szCs w:val="24"/>
        </w:rPr>
        <w:t>uzgadnianie prawnego, politycznego, społecznego i gospodarczego działania na rzecz wspólnego doskonalenia systemu (instytucji i zasobów) bezpieczeństwa UE</w:t>
      </w:r>
    </w:p>
    <w:p w:rsidR="00CA0DC9" w:rsidRDefault="00CA0DC9" w:rsidP="00CA0DC9">
      <w:pPr>
        <w:rPr>
          <w:rFonts w:ascii="Verdana" w:hAnsi="Verdana"/>
          <w:sz w:val="24"/>
          <w:szCs w:val="24"/>
        </w:rPr>
      </w:pPr>
    </w:p>
    <w:p w:rsidR="00CA0DC9" w:rsidRPr="00CA0DC9" w:rsidRDefault="00CA0DC9" w:rsidP="00CA0DC9">
      <w:pPr>
        <w:rPr>
          <w:rFonts w:ascii="Verdana" w:hAnsi="Verdana"/>
          <w:sz w:val="24"/>
          <w:szCs w:val="24"/>
        </w:rPr>
      </w:pPr>
    </w:p>
    <w:p w:rsidR="004C69C3" w:rsidRPr="00BB38B4" w:rsidRDefault="00BB38B4" w:rsidP="00BB38B4">
      <w:pPr>
        <w:jc w:val="center"/>
        <w:rPr>
          <w:rFonts w:ascii="Verdana" w:hAnsi="Verdana"/>
          <w:b/>
          <w:sz w:val="24"/>
          <w:szCs w:val="24"/>
        </w:rPr>
      </w:pPr>
      <w:r>
        <w:rPr>
          <w:rFonts w:ascii="Verdana" w:hAnsi="Verdana"/>
          <w:b/>
          <w:sz w:val="24"/>
          <w:szCs w:val="24"/>
        </w:rPr>
        <w:lastRenderedPageBreak/>
        <w:t>STRATEGIA OPERACYJNA</w:t>
      </w:r>
    </w:p>
    <w:p w:rsidR="004C69C3" w:rsidRPr="00CA0DC9" w:rsidRDefault="004C69C3" w:rsidP="00CA0DC9">
      <w:pPr>
        <w:pStyle w:val="Akapitzlist"/>
        <w:numPr>
          <w:ilvl w:val="0"/>
          <w:numId w:val="4"/>
        </w:numPr>
        <w:rPr>
          <w:rFonts w:ascii="Verdana" w:hAnsi="Verdana"/>
          <w:sz w:val="24"/>
          <w:szCs w:val="24"/>
        </w:rPr>
      </w:pPr>
      <w:r w:rsidRPr="00CA0DC9">
        <w:rPr>
          <w:rFonts w:ascii="Verdana" w:hAnsi="Verdana"/>
          <w:sz w:val="24"/>
          <w:szCs w:val="24"/>
        </w:rPr>
        <w:t>odstraszanie i powstrzymywanie, czyli - utrzymywanie i demonstrowanie jedności, determinacji, zdolności i gotowości do działania w uzgodnionym obszarze bezpieczeństwa;</w:t>
      </w:r>
    </w:p>
    <w:p w:rsidR="004C69C3" w:rsidRPr="00CA0DC9" w:rsidRDefault="004C69C3" w:rsidP="00CA0DC9">
      <w:pPr>
        <w:pStyle w:val="Akapitzlist"/>
        <w:numPr>
          <w:ilvl w:val="0"/>
          <w:numId w:val="4"/>
        </w:numPr>
        <w:rPr>
          <w:rFonts w:ascii="Verdana" w:hAnsi="Verdana"/>
          <w:sz w:val="24"/>
          <w:szCs w:val="24"/>
        </w:rPr>
      </w:pPr>
      <w:r w:rsidRPr="00CA0DC9">
        <w:rPr>
          <w:rFonts w:ascii="Verdana" w:hAnsi="Verdana"/>
          <w:sz w:val="24"/>
          <w:szCs w:val="24"/>
        </w:rPr>
        <w:t xml:space="preserve">umacnianie międzynarodowej wspólnoty bezpieczeństwa, w szczególności poprzez działania na rzecz pogłębiania procesów integracyjnych opartych na wspólnocie interesów i wartości, w tym zwłaszcza rozwijanie </w:t>
      </w:r>
      <w:proofErr w:type="spellStart"/>
      <w:r w:rsidRPr="00CA0DC9">
        <w:rPr>
          <w:rFonts w:ascii="Verdana" w:hAnsi="Verdana"/>
          <w:sz w:val="24"/>
          <w:szCs w:val="24"/>
        </w:rPr>
        <w:t>WPBiO</w:t>
      </w:r>
      <w:proofErr w:type="spellEnd"/>
      <w:r w:rsidRPr="00CA0DC9">
        <w:rPr>
          <w:rFonts w:ascii="Verdana" w:hAnsi="Verdana"/>
          <w:sz w:val="24"/>
          <w:szCs w:val="24"/>
        </w:rPr>
        <w:t xml:space="preserve">, wspólne europejskie bezpieczeństwo energetyczne, informacyjne i </w:t>
      </w:r>
      <w:proofErr w:type="spellStart"/>
      <w:r w:rsidRPr="00CA0DC9">
        <w:rPr>
          <w:rFonts w:ascii="Verdana" w:hAnsi="Verdana"/>
          <w:sz w:val="24"/>
          <w:szCs w:val="24"/>
        </w:rPr>
        <w:t>cyberbezpieczeństwo</w:t>
      </w:r>
      <w:proofErr w:type="spellEnd"/>
      <w:r w:rsidRPr="00CA0DC9">
        <w:rPr>
          <w:rFonts w:ascii="Verdana" w:hAnsi="Verdana"/>
          <w:sz w:val="24"/>
          <w:szCs w:val="24"/>
        </w:rPr>
        <w:t>, jak też współpracy z NATO oraz wzmacnianie strategicznych partnerstw, przede wszystkim z USA;</w:t>
      </w:r>
    </w:p>
    <w:p w:rsidR="004C69C3" w:rsidRPr="00CA0DC9" w:rsidRDefault="004C69C3" w:rsidP="00CA0DC9">
      <w:pPr>
        <w:pStyle w:val="Akapitzlist"/>
        <w:numPr>
          <w:ilvl w:val="0"/>
          <w:numId w:val="4"/>
        </w:numPr>
        <w:rPr>
          <w:rFonts w:ascii="Verdana" w:hAnsi="Verdana"/>
          <w:sz w:val="24"/>
          <w:szCs w:val="24"/>
        </w:rPr>
      </w:pPr>
      <w:r w:rsidRPr="00CA0DC9">
        <w:rPr>
          <w:rFonts w:ascii="Verdana" w:hAnsi="Verdana"/>
          <w:sz w:val="24"/>
          <w:szCs w:val="24"/>
        </w:rPr>
        <w:t>wspieranie i uczestniczenie w międzynarodowych operacjach bezpieczeństwa prowadzonych na podstawie wyraźnego mandatu międzynarodowego, w tym w działaniach społeczności międzynarodowej mających na celu zapobieganie powstawaniu źródeł zagrożeń lub rozprzestrzenianiu się już istniejących kryzysów.</w:t>
      </w:r>
    </w:p>
    <w:p w:rsidR="00CA0DC9" w:rsidRDefault="00CA0DC9" w:rsidP="00BB38B4">
      <w:pPr>
        <w:jc w:val="center"/>
        <w:rPr>
          <w:rFonts w:ascii="Verdana" w:hAnsi="Verdana"/>
          <w:b/>
          <w:sz w:val="24"/>
          <w:szCs w:val="24"/>
        </w:rPr>
      </w:pPr>
    </w:p>
    <w:p w:rsidR="00CA0DC9" w:rsidRDefault="00CA0DC9" w:rsidP="00BB38B4">
      <w:pPr>
        <w:jc w:val="center"/>
        <w:rPr>
          <w:rFonts w:ascii="Verdana" w:hAnsi="Verdana"/>
          <w:b/>
          <w:sz w:val="24"/>
          <w:szCs w:val="24"/>
        </w:rPr>
      </w:pPr>
    </w:p>
    <w:p w:rsidR="004C69C3" w:rsidRPr="00BB38B4" w:rsidRDefault="00BB38B4" w:rsidP="00BB38B4">
      <w:pPr>
        <w:jc w:val="center"/>
        <w:rPr>
          <w:rFonts w:ascii="Verdana" w:hAnsi="Verdana"/>
          <w:b/>
          <w:sz w:val="24"/>
          <w:szCs w:val="24"/>
        </w:rPr>
      </w:pPr>
      <w:r>
        <w:rPr>
          <w:rFonts w:ascii="Verdana" w:hAnsi="Verdana"/>
          <w:b/>
          <w:sz w:val="24"/>
          <w:szCs w:val="24"/>
        </w:rPr>
        <w:t>STRATEGIA PREPARACYJNA</w:t>
      </w:r>
    </w:p>
    <w:p w:rsidR="004C69C3" w:rsidRPr="00CA0DC9" w:rsidRDefault="004C69C3" w:rsidP="00CA0DC9">
      <w:pPr>
        <w:pStyle w:val="Akapitzlist"/>
        <w:numPr>
          <w:ilvl w:val="0"/>
          <w:numId w:val="5"/>
        </w:numPr>
        <w:rPr>
          <w:rFonts w:ascii="Verdana" w:hAnsi="Verdana"/>
          <w:sz w:val="24"/>
          <w:szCs w:val="24"/>
        </w:rPr>
      </w:pPr>
      <w:r w:rsidRPr="00CA0DC9">
        <w:rPr>
          <w:rFonts w:ascii="Verdana" w:hAnsi="Verdana"/>
          <w:sz w:val="24"/>
          <w:szCs w:val="24"/>
        </w:rPr>
        <w:t>rozwój obecnych i ustanowienie nowych proceduralnych, instytucjonalnych, prawnych i doktrynalnych ram współpracy w ramach unijnego systemu zarządzania bezpieczeństwem, w tym stworzenie efektywnego systemu planowania strategicznego (strategie, polityki, doktryny, plany działania, programy rozwoju);</w:t>
      </w:r>
    </w:p>
    <w:p w:rsidR="004C69C3" w:rsidRPr="00CA0DC9" w:rsidRDefault="004C69C3" w:rsidP="00CA0DC9">
      <w:pPr>
        <w:pStyle w:val="Akapitzlist"/>
        <w:numPr>
          <w:ilvl w:val="0"/>
          <w:numId w:val="5"/>
        </w:numPr>
        <w:rPr>
          <w:rFonts w:ascii="Verdana" w:hAnsi="Verdana"/>
          <w:sz w:val="24"/>
          <w:szCs w:val="24"/>
        </w:rPr>
      </w:pPr>
      <w:r w:rsidRPr="00CA0DC9">
        <w:rPr>
          <w:rFonts w:ascii="Verdana" w:hAnsi="Verdana"/>
          <w:sz w:val="24"/>
          <w:szCs w:val="24"/>
        </w:rPr>
        <w:t>rozwój europejskich zdolności obronnych i w innych dziedzinach bezpieczeństwa, m. in. poprzez strategicznie ukierunkowaną zrównoważoną konsolidację przemysłowego potencjału obronnego państw europejskich;</w:t>
      </w:r>
    </w:p>
    <w:p w:rsidR="004C69C3" w:rsidRPr="00CA0DC9" w:rsidRDefault="004C69C3" w:rsidP="00CA0DC9">
      <w:pPr>
        <w:pStyle w:val="Akapitzlist"/>
        <w:numPr>
          <w:ilvl w:val="0"/>
          <w:numId w:val="5"/>
        </w:numPr>
        <w:rPr>
          <w:rFonts w:ascii="Verdana" w:hAnsi="Verdana"/>
          <w:sz w:val="24"/>
          <w:szCs w:val="24"/>
        </w:rPr>
      </w:pPr>
      <w:r w:rsidRPr="00CA0DC9">
        <w:rPr>
          <w:rFonts w:ascii="Verdana" w:hAnsi="Verdana"/>
          <w:sz w:val="24"/>
          <w:szCs w:val="24"/>
        </w:rPr>
        <w:t>umacnianie europejskiego obszaru wolności, bezpieczeństwa i sprawiedliwości;</w:t>
      </w:r>
    </w:p>
    <w:p w:rsidR="004C69C3" w:rsidRPr="00CA0DC9" w:rsidRDefault="004C69C3" w:rsidP="00CA0DC9">
      <w:pPr>
        <w:pStyle w:val="Akapitzlist"/>
        <w:numPr>
          <w:ilvl w:val="0"/>
          <w:numId w:val="5"/>
        </w:numPr>
        <w:rPr>
          <w:rFonts w:ascii="Verdana" w:hAnsi="Verdana"/>
          <w:sz w:val="24"/>
          <w:szCs w:val="24"/>
        </w:rPr>
      </w:pPr>
      <w:r w:rsidRPr="00CA0DC9">
        <w:rPr>
          <w:rFonts w:ascii="Verdana" w:hAnsi="Verdana"/>
          <w:sz w:val="24"/>
          <w:szCs w:val="24"/>
        </w:rPr>
        <w:t>rozwój niematerialnych (w tym informacyjnych, edukacyjnych, kulturowych, naukowo-technicznych) i materialnych (finansowych, energetycznych, infrastrukturalnych) zdolności poszczególnych państw do wspierania działań na rzecz bezpieczeństwa europejskiego;</w:t>
      </w:r>
    </w:p>
    <w:p w:rsidR="004C69C3" w:rsidRPr="00CA0DC9" w:rsidRDefault="004C69C3" w:rsidP="00CA0DC9">
      <w:pPr>
        <w:pStyle w:val="Akapitzlist"/>
        <w:numPr>
          <w:ilvl w:val="0"/>
          <w:numId w:val="5"/>
        </w:numPr>
        <w:rPr>
          <w:rFonts w:ascii="Verdana" w:hAnsi="Verdana"/>
          <w:sz w:val="24"/>
          <w:szCs w:val="24"/>
        </w:rPr>
      </w:pPr>
      <w:r w:rsidRPr="00CA0DC9">
        <w:rPr>
          <w:rFonts w:ascii="Verdana" w:hAnsi="Verdana"/>
          <w:sz w:val="24"/>
          <w:szCs w:val="24"/>
        </w:rPr>
        <w:t xml:space="preserve">rozwój zdolności niezbędnych do zapobiegania, ochrony, eliminowania i zwalczania zagrożeń oraz </w:t>
      </w:r>
      <w:proofErr w:type="spellStart"/>
      <w:r w:rsidRPr="00CA0DC9">
        <w:rPr>
          <w:rFonts w:ascii="Verdana" w:hAnsi="Verdana"/>
          <w:sz w:val="24"/>
          <w:szCs w:val="24"/>
        </w:rPr>
        <w:t>ryzyk</w:t>
      </w:r>
      <w:proofErr w:type="spellEnd"/>
      <w:r w:rsidRPr="00CA0DC9">
        <w:rPr>
          <w:rFonts w:ascii="Verdana" w:hAnsi="Verdana"/>
          <w:sz w:val="24"/>
          <w:szCs w:val="24"/>
        </w:rPr>
        <w:t xml:space="preserve"> pozamilitarnych, związanych z cyberprzestępczością, terroryzmem i międzynarodową przestępczością zorganizowaną.</w:t>
      </w:r>
    </w:p>
    <w:p w:rsidR="004C69C3" w:rsidRDefault="004C69C3" w:rsidP="004C69C3">
      <w:pPr>
        <w:rPr>
          <w:rFonts w:ascii="Verdana" w:hAnsi="Verdana"/>
          <w:sz w:val="24"/>
          <w:szCs w:val="24"/>
        </w:rPr>
      </w:pPr>
    </w:p>
    <w:p w:rsidR="00CA0DC9" w:rsidRPr="00BB38B4" w:rsidRDefault="00CA0DC9" w:rsidP="004C69C3">
      <w:pPr>
        <w:rPr>
          <w:rFonts w:ascii="Verdana" w:hAnsi="Verdana"/>
          <w:sz w:val="24"/>
          <w:szCs w:val="24"/>
        </w:rPr>
      </w:pPr>
      <w:bookmarkStart w:id="0" w:name="_GoBack"/>
      <w:bookmarkEnd w:id="0"/>
    </w:p>
    <w:p w:rsidR="004C69C3" w:rsidRPr="00BB38B4" w:rsidRDefault="004C69C3" w:rsidP="00BB38B4">
      <w:pPr>
        <w:jc w:val="center"/>
        <w:rPr>
          <w:rFonts w:ascii="Verdana" w:hAnsi="Verdana"/>
          <w:b/>
          <w:sz w:val="24"/>
          <w:szCs w:val="24"/>
        </w:rPr>
      </w:pPr>
      <w:r w:rsidRPr="00BB38B4">
        <w:rPr>
          <w:rFonts w:ascii="Verdana" w:hAnsi="Verdana"/>
          <w:b/>
          <w:sz w:val="24"/>
          <w:szCs w:val="24"/>
        </w:rPr>
        <w:lastRenderedPageBreak/>
        <w:t>WNIOSKI</w:t>
      </w:r>
    </w:p>
    <w:p w:rsidR="004C69C3" w:rsidRPr="00CA0DC9" w:rsidRDefault="004C69C3" w:rsidP="00CA0DC9">
      <w:pPr>
        <w:pStyle w:val="Akapitzlist"/>
        <w:numPr>
          <w:ilvl w:val="0"/>
          <w:numId w:val="6"/>
        </w:numPr>
        <w:rPr>
          <w:rFonts w:ascii="Verdana" w:hAnsi="Verdana"/>
          <w:sz w:val="24"/>
          <w:szCs w:val="24"/>
        </w:rPr>
      </w:pPr>
      <w:r w:rsidRPr="00CA0DC9">
        <w:rPr>
          <w:rFonts w:ascii="Verdana" w:hAnsi="Verdana"/>
          <w:sz w:val="24"/>
          <w:szCs w:val="24"/>
        </w:rPr>
        <w:t>UE stoi w punkcie krytycznym: albo zmobilizuje się i rozpocznie strategiczne podejście do spraw bezpieczeństwa, albo przestanie liczyć się jako istotny podmiot w tej dziedzinie.</w:t>
      </w:r>
    </w:p>
    <w:p w:rsidR="004C69C3" w:rsidRPr="00CA0DC9" w:rsidRDefault="004C69C3" w:rsidP="00CA0DC9">
      <w:pPr>
        <w:pStyle w:val="Akapitzlist"/>
        <w:numPr>
          <w:ilvl w:val="0"/>
          <w:numId w:val="6"/>
        </w:numPr>
        <w:rPr>
          <w:rFonts w:ascii="Verdana" w:hAnsi="Verdana"/>
          <w:sz w:val="24"/>
          <w:szCs w:val="24"/>
        </w:rPr>
      </w:pPr>
      <w:r w:rsidRPr="00CA0DC9">
        <w:rPr>
          <w:rFonts w:ascii="Verdana" w:hAnsi="Verdana"/>
          <w:sz w:val="24"/>
          <w:szCs w:val="24"/>
        </w:rPr>
        <w:t xml:space="preserve">Czerwcowy szczyt poświęcony </w:t>
      </w:r>
      <w:proofErr w:type="spellStart"/>
      <w:r w:rsidRPr="00CA0DC9">
        <w:rPr>
          <w:rFonts w:ascii="Verdana" w:hAnsi="Verdana"/>
          <w:sz w:val="24"/>
          <w:szCs w:val="24"/>
        </w:rPr>
        <w:t>WPBiO</w:t>
      </w:r>
      <w:proofErr w:type="spellEnd"/>
      <w:r w:rsidRPr="00CA0DC9">
        <w:rPr>
          <w:rFonts w:ascii="Verdana" w:hAnsi="Verdana"/>
          <w:sz w:val="24"/>
          <w:szCs w:val="24"/>
        </w:rPr>
        <w:t xml:space="preserve"> jest szansą dla UE, by rozpocząć proces strategicznego budowania bezpieczeństwa europejskiego w radykalnie zmienionych warunkach zewnętrznych (kryzysy na wschodzie i południu) oraz wewnętrznych (kryzys spójności wewnątrzunijnej).</w:t>
      </w:r>
    </w:p>
    <w:p w:rsidR="004C69C3" w:rsidRPr="00CA0DC9" w:rsidRDefault="004C69C3" w:rsidP="00CA0DC9">
      <w:pPr>
        <w:pStyle w:val="Akapitzlist"/>
        <w:numPr>
          <w:ilvl w:val="0"/>
          <w:numId w:val="6"/>
        </w:numPr>
        <w:rPr>
          <w:rFonts w:ascii="Verdana" w:hAnsi="Verdana"/>
          <w:sz w:val="24"/>
          <w:szCs w:val="24"/>
        </w:rPr>
      </w:pPr>
      <w:r w:rsidRPr="00CA0DC9">
        <w:rPr>
          <w:rFonts w:ascii="Verdana" w:hAnsi="Verdana"/>
          <w:sz w:val="24"/>
          <w:szCs w:val="24"/>
        </w:rPr>
        <w:t xml:space="preserve">Aby tę szansę wykorzystać, nowa strategia europejska powinna być realistyczna, a nie życzeniowa. Oznacza to konieczność oparcia jej na wzajemnie akceptowanych (wspólnych i niesprzecznych) interesach narodowych państw członkowskich, a nie tylko na wspólnych wartościach. </w:t>
      </w:r>
    </w:p>
    <w:p w:rsidR="004C69C3" w:rsidRDefault="004C69C3" w:rsidP="00CA0DC9">
      <w:pPr>
        <w:pStyle w:val="Akapitzlist"/>
        <w:numPr>
          <w:ilvl w:val="0"/>
          <w:numId w:val="6"/>
        </w:numPr>
        <w:rPr>
          <w:rFonts w:ascii="Verdana" w:hAnsi="Verdana"/>
          <w:sz w:val="24"/>
          <w:szCs w:val="24"/>
        </w:rPr>
      </w:pPr>
      <w:r w:rsidRPr="00CA0DC9">
        <w:rPr>
          <w:rFonts w:ascii="Verdana" w:hAnsi="Verdana"/>
          <w:sz w:val="24"/>
          <w:szCs w:val="24"/>
        </w:rPr>
        <w:t>Na szczycie czerwcowym zapewne jeszcze nie uda się przyjąć takiej właśnie strategii. Szczególnie trudne będzie ustalenie misji strategicznej jako wspólnego pakietu interesów, a także środków niezbędnych do jej wspólnego realizowania. Tym nie mniej są szanse na zręby takiej właśnie strategii, a w każdym razie należałoby w tym kierunku zmierzać w dalszych pracach strategicznych po szczycie, w ramach implementacji jego konkluzji.</w:t>
      </w:r>
    </w:p>
    <w:p w:rsidR="00CA0DC9" w:rsidRPr="00CA0DC9" w:rsidRDefault="00CA0DC9" w:rsidP="00CA0DC9">
      <w:pPr>
        <w:jc w:val="center"/>
        <w:rPr>
          <w:rFonts w:ascii="Verdana" w:hAnsi="Verdana"/>
          <w:sz w:val="24"/>
          <w:szCs w:val="24"/>
        </w:rPr>
      </w:pPr>
      <w:r>
        <w:rPr>
          <w:rFonts w:ascii="Verdana" w:hAnsi="Verdana"/>
          <w:sz w:val="24"/>
          <w:szCs w:val="24"/>
        </w:rPr>
        <w:t>============================</w:t>
      </w:r>
    </w:p>
    <w:sectPr w:rsidR="00CA0DC9" w:rsidRPr="00CA0D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54" w:rsidRDefault="00947B54" w:rsidP="00BB38B4">
      <w:pPr>
        <w:spacing w:after="0" w:line="240" w:lineRule="auto"/>
      </w:pPr>
      <w:r>
        <w:separator/>
      </w:r>
    </w:p>
  </w:endnote>
  <w:endnote w:type="continuationSeparator" w:id="0">
    <w:p w:rsidR="00947B54" w:rsidRDefault="00947B54" w:rsidP="00BB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526681"/>
      <w:docPartObj>
        <w:docPartGallery w:val="Page Numbers (Bottom of Page)"/>
        <w:docPartUnique/>
      </w:docPartObj>
    </w:sdtPr>
    <w:sdtEndPr/>
    <w:sdtContent>
      <w:p w:rsidR="00BB38B4" w:rsidRDefault="00BB38B4">
        <w:pPr>
          <w:pStyle w:val="Stopka"/>
          <w:jc w:val="right"/>
        </w:pPr>
        <w:r>
          <w:fldChar w:fldCharType="begin"/>
        </w:r>
        <w:r>
          <w:instrText>PAGE   \* MERGEFORMAT</w:instrText>
        </w:r>
        <w:r>
          <w:fldChar w:fldCharType="separate"/>
        </w:r>
        <w:r w:rsidR="00CA0DC9">
          <w:rPr>
            <w:noProof/>
          </w:rPr>
          <w:t>4</w:t>
        </w:r>
        <w:r>
          <w:fldChar w:fldCharType="end"/>
        </w:r>
      </w:p>
    </w:sdtContent>
  </w:sdt>
  <w:p w:rsidR="00BB38B4" w:rsidRDefault="00BB38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54" w:rsidRDefault="00947B54" w:rsidP="00BB38B4">
      <w:pPr>
        <w:spacing w:after="0" w:line="240" w:lineRule="auto"/>
      </w:pPr>
      <w:r>
        <w:separator/>
      </w:r>
    </w:p>
  </w:footnote>
  <w:footnote w:type="continuationSeparator" w:id="0">
    <w:p w:rsidR="00947B54" w:rsidRDefault="00947B54" w:rsidP="00BB3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37E"/>
    <w:multiLevelType w:val="hybridMultilevel"/>
    <w:tmpl w:val="17B82BE2"/>
    <w:lvl w:ilvl="0" w:tplc="ECFAE6AE">
      <w:start w:val="1"/>
      <w:numFmt w:val="bullet"/>
      <w:lvlText w:val=""/>
      <w:lvlJc w:val="left"/>
      <w:pPr>
        <w:tabs>
          <w:tab w:val="num" w:pos="720"/>
        </w:tabs>
        <w:ind w:left="720" w:hanging="360"/>
      </w:pPr>
      <w:rPr>
        <w:rFonts w:ascii="Wingdings" w:hAnsi="Wingdings" w:hint="default"/>
      </w:rPr>
    </w:lvl>
    <w:lvl w:ilvl="1" w:tplc="661255F4">
      <w:start w:val="1"/>
      <w:numFmt w:val="bullet"/>
      <w:lvlText w:val=""/>
      <w:lvlJc w:val="left"/>
      <w:pPr>
        <w:tabs>
          <w:tab w:val="num" w:pos="1440"/>
        </w:tabs>
        <w:ind w:left="1440" w:hanging="360"/>
      </w:pPr>
      <w:rPr>
        <w:rFonts w:ascii="Wingdings" w:hAnsi="Wingdings" w:hint="default"/>
      </w:rPr>
    </w:lvl>
    <w:lvl w:ilvl="2" w:tplc="E9748952" w:tentative="1">
      <w:start w:val="1"/>
      <w:numFmt w:val="bullet"/>
      <w:lvlText w:val=""/>
      <w:lvlJc w:val="left"/>
      <w:pPr>
        <w:tabs>
          <w:tab w:val="num" w:pos="2160"/>
        </w:tabs>
        <w:ind w:left="2160" w:hanging="360"/>
      </w:pPr>
      <w:rPr>
        <w:rFonts w:ascii="Wingdings" w:hAnsi="Wingdings" w:hint="default"/>
      </w:rPr>
    </w:lvl>
    <w:lvl w:ilvl="3" w:tplc="9F646F02" w:tentative="1">
      <w:start w:val="1"/>
      <w:numFmt w:val="bullet"/>
      <w:lvlText w:val=""/>
      <w:lvlJc w:val="left"/>
      <w:pPr>
        <w:tabs>
          <w:tab w:val="num" w:pos="2880"/>
        </w:tabs>
        <w:ind w:left="2880" w:hanging="360"/>
      </w:pPr>
      <w:rPr>
        <w:rFonts w:ascii="Wingdings" w:hAnsi="Wingdings" w:hint="default"/>
      </w:rPr>
    </w:lvl>
    <w:lvl w:ilvl="4" w:tplc="31BEA106" w:tentative="1">
      <w:start w:val="1"/>
      <w:numFmt w:val="bullet"/>
      <w:lvlText w:val=""/>
      <w:lvlJc w:val="left"/>
      <w:pPr>
        <w:tabs>
          <w:tab w:val="num" w:pos="3600"/>
        </w:tabs>
        <w:ind w:left="3600" w:hanging="360"/>
      </w:pPr>
      <w:rPr>
        <w:rFonts w:ascii="Wingdings" w:hAnsi="Wingdings" w:hint="default"/>
      </w:rPr>
    </w:lvl>
    <w:lvl w:ilvl="5" w:tplc="085ADD06" w:tentative="1">
      <w:start w:val="1"/>
      <w:numFmt w:val="bullet"/>
      <w:lvlText w:val=""/>
      <w:lvlJc w:val="left"/>
      <w:pPr>
        <w:tabs>
          <w:tab w:val="num" w:pos="4320"/>
        </w:tabs>
        <w:ind w:left="4320" w:hanging="360"/>
      </w:pPr>
      <w:rPr>
        <w:rFonts w:ascii="Wingdings" w:hAnsi="Wingdings" w:hint="default"/>
      </w:rPr>
    </w:lvl>
    <w:lvl w:ilvl="6" w:tplc="D07E0CA8" w:tentative="1">
      <w:start w:val="1"/>
      <w:numFmt w:val="bullet"/>
      <w:lvlText w:val=""/>
      <w:lvlJc w:val="left"/>
      <w:pPr>
        <w:tabs>
          <w:tab w:val="num" w:pos="5040"/>
        </w:tabs>
        <w:ind w:left="5040" w:hanging="360"/>
      </w:pPr>
      <w:rPr>
        <w:rFonts w:ascii="Wingdings" w:hAnsi="Wingdings" w:hint="default"/>
      </w:rPr>
    </w:lvl>
    <w:lvl w:ilvl="7" w:tplc="0CCAFFDA" w:tentative="1">
      <w:start w:val="1"/>
      <w:numFmt w:val="bullet"/>
      <w:lvlText w:val=""/>
      <w:lvlJc w:val="left"/>
      <w:pPr>
        <w:tabs>
          <w:tab w:val="num" w:pos="5760"/>
        </w:tabs>
        <w:ind w:left="5760" w:hanging="360"/>
      </w:pPr>
      <w:rPr>
        <w:rFonts w:ascii="Wingdings" w:hAnsi="Wingdings" w:hint="default"/>
      </w:rPr>
    </w:lvl>
    <w:lvl w:ilvl="8" w:tplc="18D63D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E7FF7"/>
    <w:multiLevelType w:val="hybridMultilevel"/>
    <w:tmpl w:val="03CA991A"/>
    <w:lvl w:ilvl="0" w:tplc="ECFAE6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0651C"/>
    <w:multiLevelType w:val="hybridMultilevel"/>
    <w:tmpl w:val="4B463B16"/>
    <w:lvl w:ilvl="0" w:tplc="ECFAE6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B575AD"/>
    <w:multiLevelType w:val="hybridMultilevel"/>
    <w:tmpl w:val="89B4483E"/>
    <w:lvl w:ilvl="0" w:tplc="ECFAE6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4668FF"/>
    <w:multiLevelType w:val="hybridMultilevel"/>
    <w:tmpl w:val="BB12223E"/>
    <w:lvl w:ilvl="0" w:tplc="13EEF152">
      <w:start w:val="1"/>
      <w:numFmt w:val="bullet"/>
      <w:lvlText w:val=""/>
      <w:lvlJc w:val="left"/>
      <w:pPr>
        <w:tabs>
          <w:tab w:val="num" w:pos="720"/>
        </w:tabs>
        <w:ind w:left="720" w:hanging="360"/>
      </w:pPr>
      <w:rPr>
        <w:rFonts w:ascii="Wingdings" w:hAnsi="Wingdings" w:hint="default"/>
      </w:rPr>
    </w:lvl>
    <w:lvl w:ilvl="1" w:tplc="9C8E97DA" w:tentative="1">
      <w:start w:val="1"/>
      <w:numFmt w:val="bullet"/>
      <w:lvlText w:val=""/>
      <w:lvlJc w:val="left"/>
      <w:pPr>
        <w:tabs>
          <w:tab w:val="num" w:pos="1440"/>
        </w:tabs>
        <w:ind w:left="1440" w:hanging="360"/>
      </w:pPr>
      <w:rPr>
        <w:rFonts w:ascii="Wingdings" w:hAnsi="Wingdings" w:hint="default"/>
      </w:rPr>
    </w:lvl>
    <w:lvl w:ilvl="2" w:tplc="03D2FE74" w:tentative="1">
      <w:start w:val="1"/>
      <w:numFmt w:val="bullet"/>
      <w:lvlText w:val=""/>
      <w:lvlJc w:val="left"/>
      <w:pPr>
        <w:tabs>
          <w:tab w:val="num" w:pos="2160"/>
        </w:tabs>
        <w:ind w:left="2160" w:hanging="360"/>
      </w:pPr>
      <w:rPr>
        <w:rFonts w:ascii="Wingdings" w:hAnsi="Wingdings" w:hint="default"/>
      </w:rPr>
    </w:lvl>
    <w:lvl w:ilvl="3" w:tplc="4EC8DDDA" w:tentative="1">
      <w:start w:val="1"/>
      <w:numFmt w:val="bullet"/>
      <w:lvlText w:val=""/>
      <w:lvlJc w:val="left"/>
      <w:pPr>
        <w:tabs>
          <w:tab w:val="num" w:pos="2880"/>
        </w:tabs>
        <w:ind w:left="2880" w:hanging="360"/>
      </w:pPr>
      <w:rPr>
        <w:rFonts w:ascii="Wingdings" w:hAnsi="Wingdings" w:hint="default"/>
      </w:rPr>
    </w:lvl>
    <w:lvl w:ilvl="4" w:tplc="7F8A760E" w:tentative="1">
      <w:start w:val="1"/>
      <w:numFmt w:val="bullet"/>
      <w:lvlText w:val=""/>
      <w:lvlJc w:val="left"/>
      <w:pPr>
        <w:tabs>
          <w:tab w:val="num" w:pos="3600"/>
        </w:tabs>
        <w:ind w:left="3600" w:hanging="360"/>
      </w:pPr>
      <w:rPr>
        <w:rFonts w:ascii="Wingdings" w:hAnsi="Wingdings" w:hint="default"/>
      </w:rPr>
    </w:lvl>
    <w:lvl w:ilvl="5" w:tplc="99643588" w:tentative="1">
      <w:start w:val="1"/>
      <w:numFmt w:val="bullet"/>
      <w:lvlText w:val=""/>
      <w:lvlJc w:val="left"/>
      <w:pPr>
        <w:tabs>
          <w:tab w:val="num" w:pos="4320"/>
        </w:tabs>
        <w:ind w:left="4320" w:hanging="360"/>
      </w:pPr>
      <w:rPr>
        <w:rFonts w:ascii="Wingdings" w:hAnsi="Wingdings" w:hint="default"/>
      </w:rPr>
    </w:lvl>
    <w:lvl w:ilvl="6" w:tplc="E9D63B2C" w:tentative="1">
      <w:start w:val="1"/>
      <w:numFmt w:val="bullet"/>
      <w:lvlText w:val=""/>
      <w:lvlJc w:val="left"/>
      <w:pPr>
        <w:tabs>
          <w:tab w:val="num" w:pos="5040"/>
        </w:tabs>
        <w:ind w:left="5040" w:hanging="360"/>
      </w:pPr>
      <w:rPr>
        <w:rFonts w:ascii="Wingdings" w:hAnsi="Wingdings" w:hint="default"/>
      </w:rPr>
    </w:lvl>
    <w:lvl w:ilvl="7" w:tplc="6100BDFC" w:tentative="1">
      <w:start w:val="1"/>
      <w:numFmt w:val="bullet"/>
      <w:lvlText w:val=""/>
      <w:lvlJc w:val="left"/>
      <w:pPr>
        <w:tabs>
          <w:tab w:val="num" w:pos="5760"/>
        </w:tabs>
        <w:ind w:left="5760" w:hanging="360"/>
      </w:pPr>
      <w:rPr>
        <w:rFonts w:ascii="Wingdings" w:hAnsi="Wingdings" w:hint="default"/>
      </w:rPr>
    </w:lvl>
    <w:lvl w:ilvl="8" w:tplc="F17E08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00537B"/>
    <w:multiLevelType w:val="hybridMultilevel"/>
    <w:tmpl w:val="B98E3092"/>
    <w:lvl w:ilvl="0" w:tplc="ECFAE6A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C3"/>
    <w:rsid w:val="00123C88"/>
    <w:rsid w:val="001A0BBB"/>
    <w:rsid w:val="004C69C3"/>
    <w:rsid w:val="006C4DEE"/>
    <w:rsid w:val="00947B54"/>
    <w:rsid w:val="00B53C2B"/>
    <w:rsid w:val="00BB38B4"/>
    <w:rsid w:val="00CA0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AB4"/>
  <w15:chartTrackingRefBased/>
  <w15:docId w15:val="{0F57C1F2-7512-4E20-9D3F-5D1ACAFE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8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8B4"/>
  </w:style>
  <w:style w:type="paragraph" w:styleId="Stopka">
    <w:name w:val="footer"/>
    <w:basedOn w:val="Normalny"/>
    <w:link w:val="StopkaZnak"/>
    <w:uiPriority w:val="99"/>
    <w:unhideWhenUsed/>
    <w:rsid w:val="00BB38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8B4"/>
  </w:style>
  <w:style w:type="paragraph" w:styleId="Akapitzlist">
    <w:name w:val="List Paragraph"/>
    <w:basedOn w:val="Normalny"/>
    <w:uiPriority w:val="34"/>
    <w:qFormat/>
    <w:rsid w:val="00CA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4787">
      <w:bodyDiv w:val="1"/>
      <w:marLeft w:val="0"/>
      <w:marRight w:val="0"/>
      <w:marTop w:val="0"/>
      <w:marBottom w:val="0"/>
      <w:divBdr>
        <w:top w:val="none" w:sz="0" w:space="0" w:color="auto"/>
        <w:left w:val="none" w:sz="0" w:space="0" w:color="auto"/>
        <w:bottom w:val="none" w:sz="0" w:space="0" w:color="auto"/>
        <w:right w:val="none" w:sz="0" w:space="0" w:color="auto"/>
      </w:divBdr>
    </w:div>
    <w:div w:id="938634100">
      <w:bodyDiv w:val="1"/>
      <w:marLeft w:val="0"/>
      <w:marRight w:val="0"/>
      <w:marTop w:val="0"/>
      <w:marBottom w:val="0"/>
      <w:divBdr>
        <w:top w:val="none" w:sz="0" w:space="0" w:color="auto"/>
        <w:left w:val="none" w:sz="0" w:space="0" w:color="auto"/>
        <w:bottom w:val="none" w:sz="0" w:space="0" w:color="auto"/>
        <w:right w:val="none" w:sz="0" w:space="0" w:color="auto"/>
      </w:divBdr>
    </w:div>
    <w:div w:id="1104112416">
      <w:bodyDiv w:val="1"/>
      <w:marLeft w:val="0"/>
      <w:marRight w:val="0"/>
      <w:marTop w:val="0"/>
      <w:marBottom w:val="0"/>
      <w:divBdr>
        <w:top w:val="none" w:sz="0" w:space="0" w:color="auto"/>
        <w:left w:val="none" w:sz="0" w:space="0" w:color="auto"/>
        <w:bottom w:val="none" w:sz="0" w:space="0" w:color="auto"/>
        <w:right w:val="none" w:sz="0" w:space="0" w:color="auto"/>
      </w:divBdr>
    </w:div>
    <w:div w:id="1120076042">
      <w:bodyDiv w:val="1"/>
      <w:marLeft w:val="0"/>
      <w:marRight w:val="0"/>
      <w:marTop w:val="0"/>
      <w:marBottom w:val="0"/>
      <w:divBdr>
        <w:top w:val="none" w:sz="0" w:space="0" w:color="auto"/>
        <w:left w:val="none" w:sz="0" w:space="0" w:color="auto"/>
        <w:bottom w:val="none" w:sz="0" w:space="0" w:color="auto"/>
        <w:right w:val="none" w:sz="0" w:space="0" w:color="auto"/>
      </w:divBdr>
      <w:divsChild>
        <w:div w:id="1426685242">
          <w:marLeft w:val="605"/>
          <w:marRight w:val="0"/>
          <w:marTop w:val="40"/>
          <w:marBottom w:val="80"/>
          <w:divBdr>
            <w:top w:val="none" w:sz="0" w:space="0" w:color="auto"/>
            <w:left w:val="none" w:sz="0" w:space="0" w:color="auto"/>
            <w:bottom w:val="none" w:sz="0" w:space="0" w:color="auto"/>
            <w:right w:val="none" w:sz="0" w:space="0" w:color="auto"/>
          </w:divBdr>
        </w:div>
        <w:div w:id="1708026418">
          <w:marLeft w:val="605"/>
          <w:marRight w:val="0"/>
          <w:marTop w:val="40"/>
          <w:marBottom w:val="80"/>
          <w:divBdr>
            <w:top w:val="none" w:sz="0" w:space="0" w:color="auto"/>
            <w:left w:val="none" w:sz="0" w:space="0" w:color="auto"/>
            <w:bottom w:val="none" w:sz="0" w:space="0" w:color="auto"/>
            <w:right w:val="none" w:sz="0" w:space="0" w:color="auto"/>
          </w:divBdr>
        </w:div>
        <w:div w:id="544872885">
          <w:marLeft w:val="605"/>
          <w:marRight w:val="0"/>
          <w:marTop w:val="40"/>
          <w:marBottom w:val="80"/>
          <w:divBdr>
            <w:top w:val="none" w:sz="0" w:space="0" w:color="auto"/>
            <w:left w:val="none" w:sz="0" w:space="0" w:color="auto"/>
            <w:bottom w:val="none" w:sz="0" w:space="0" w:color="auto"/>
            <w:right w:val="none" w:sz="0" w:space="0" w:color="auto"/>
          </w:divBdr>
        </w:div>
      </w:divsChild>
    </w:div>
    <w:div w:id="1591307639">
      <w:bodyDiv w:val="1"/>
      <w:marLeft w:val="0"/>
      <w:marRight w:val="0"/>
      <w:marTop w:val="0"/>
      <w:marBottom w:val="0"/>
      <w:divBdr>
        <w:top w:val="none" w:sz="0" w:space="0" w:color="auto"/>
        <w:left w:val="none" w:sz="0" w:space="0" w:color="auto"/>
        <w:bottom w:val="none" w:sz="0" w:space="0" w:color="auto"/>
        <w:right w:val="none" w:sz="0" w:space="0" w:color="auto"/>
      </w:divBdr>
    </w:div>
    <w:div w:id="2051758867">
      <w:bodyDiv w:val="1"/>
      <w:marLeft w:val="0"/>
      <w:marRight w:val="0"/>
      <w:marTop w:val="0"/>
      <w:marBottom w:val="0"/>
      <w:divBdr>
        <w:top w:val="none" w:sz="0" w:space="0" w:color="auto"/>
        <w:left w:val="none" w:sz="0" w:space="0" w:color="auto"/>
        <w:bottom w:val="none" w:sz="0" w:space="0" w:color="auto"/>
        <w:right w:val="none" w:sz="0" w:space="0" w:color="auto"/>
      </w:divBdr>
      <w:divsChild>
        <w:div w:id="1619485524">
          <w:marLeft w:val="720"/>
          <w:marRight w:val="0"/>
          <w:marTop w:val="240"/>
          <w:marBottom w:val="0"/>
          <w:divBdr>
            <w:top w:val="none" w:sz="0" w:space="0" w:color="auto"/>
            <w:left w:val="none" w:sz="0" w:space="0" w:color="auto"/>
            <w:bottom w:val="none" w:sz="0" w:space="0" w:color="auto"/>
            <w:right w:val="none" w:sz="0" w:space="0" w:color="auto"/>
          </w:divBdr>
        </w:div>
        <w:div w:id="348605938">
          <w:marLeft w:val="720"/>
          <w:marRight w:val="0"/>
          <w:marTop w:val="240"/>
          <w:marBottom w:val="0"/>
          <w:divBdr>
            <w:top w:val="none" w:sz="0" w:space="0" w:color="auto"/>
            <w:left w:val="none" w:sz="0" w:space="0" w:color="auto"/>
            <w:bottom w:val="none" w:sz="0" w:space="0" w:color="auto"/>
            <w:right w:val="none" w:sz="0" w:space="0" w:color="auto"/>
          </w:divBdr>
        </w:div>
        <w:div w:id="334499427">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Koziej</dc:creator>
  <cp:keywords/>
  <dc:description/>
  <cp:lastModifiedBy>Stanisław Koziej</cp:lastModifiedBy>
  <cp:revision>3</cp:revision>
  <dcterms:created xsi:type="dcterms:W3CDTF">2016-04-22T05:43:00Z</dcterms:created>
  <dcterms:modified xsi:type="dcterms:W3CDTF">2016-04-22T21:04:00Z</dcterms:modified>
</cp:coreProperties>
</file>